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A2" w:rsidRPr="00DF7690" w:rsidRDefault="00527AA2" w:rsidP="00527AA2">
      <w:pPr>
        <w:pStyle w:val="3"/>
        <w:shd w:val="clear" w:color="auto" w:fill="auto"/>
        <w:tabs>
          <w:tab w:val="left" w:pos="1407"/>
          <w:tab w:val="left" w:leader="underscore" w:pos="8079"/>
          <w:tab w:val="left" w:leader="underscore" w:pos="9562"/>
        </w:tabs>
        <w:spacing w:after="0" w:line="276" w:lineRule="auto"/>
        <w:ind w:right="40"/>
        <w:jc w:val="center"/>
        <w:rPr>
          <w:b/>
          <w:sz w:val="40"/>
          <w:szCs w:val="40"/>
        </w:rPr>
      </w:pPr>
      <w:r w:rsidRPr="00DF7690">
        <w:rPr>
          <w:b/>
          <w:sz w:val="40"/>
          <w:szCs w:val="40"/>
        </w:rPr>
        <w:t>Объёмные показатели</w:t>
      </w:r>
    </w:p>
    <w:p w:rsidR="00527AA2" w:rsidRPr="00DF7690" w:rsidRDefault="00527AA2" w:rsidP="00527AA2">
      <w:pPr>
        <w:pStyle w:val="3"/>
        <w:shd w:val="clear" w:color="auto" w:fill="auto"/>
        <w:tabs>
          <w:tab w:val="left" w:pos="1407"/>
          <w:tab w:val="left" w:leader="underscore" w:pos="8079"/>
          <w:tab w:val="left" w:leader="underscore" w:pos="9562"/>
        </w:tabs>
        <w:spacing w:after="0" w:line="276" w:lineRule="auto"/>
        <w:ind w:right="40"/>
        <w:jc w:val="center"/>
        <w:rPr>
          <w:b/>
          <w:sz w:val="40"/>
          <w:szCs w:val="40"/>
        </w:rPr>
      </w:pPr>
      <w:r w:rsidRPr="00DF7690">
        <w:rPr>
          <w:b/>
          <w:sz w:val="40"/>
          <w:szCs w:val="40"/>
        </w:rPr>
        <w:t xml:space="preserve">МБОУ </w:t>
      </w:r>
      <w:proofErr w:type="spellStart"/>
      <w:r w:rsidRPr="00DF7690">
        <w:rPr>
          <w:b/>
          <w:sz w:val="40"/>
          <w:szCs w:val="40"/>
        </w:rPr>
        <w:t>Насонтовской</w:t>
      </w:r>
      <w:proofErr w:type="spellEnd"/>
      <w:r w:rsidRPr="00DF7690">
        <w:rPr>
          <w:b/>
          <w:sz w:val="40"/>
          <w:szCs w:val="40"/>
        </w:rPr>
        <w:t xml:space="preserve"> ООШ на 01.09.2012г.</w:t>
      </w:r>
    </w:p>
    <w:tbl>
      <w:tblPr>
        <w:tblpPr w:leftFromText="180" w:rightFromText="180" w:vertAnchor="text" w:horzAnchor="margin" w:tblpXSpec="center" w:tblpY="420"/>
        <w:tblOverlap w:val="never"/>
        <w:tblW w:w="97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103"/>
        <w:gridCol w:w="2694"/>
        <w:gridCol w:w="1353"/>
      </w:tblGrid>
      <w:tr w:rsidR="00527AA2" w:rsidRPr="00DF7690" w:rsidTr="008A6555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DF7690">
              <w:rPr>
                <w:rStyle w:val="2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690">
              <w:rPr>
                <w:rStyle w:val="2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F7690">
              <w:rPr>
                <w:rStyle w:val="2"/>
                <w:b/>
                <w:sz w:val="28"/>
                <w:szCs w:val="28"/>
              </w:rPr>
              <w:t>/</w:t>
            </w:r>
            <w:proofErr w:type="spellStart"/>
            <w:r w:rsidRPr="00DF7690">
              <w:rPr>
                <w:rStyle w:val="2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7690">
              <w:rPr>
                <w:rStyle w:val="2"/>
                <w:b/>
                <w:sz w:val="28"/>
                <w:szCs w:val="28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F7690">
              <w:rPr>
                <w:rStyle w:val="2"/>
                <w:b/>
                <w:sz w:val="28"/>
                <w:szCs w:val="28"/>
              </w:rPr>
              <w:t>Условия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60" w:line="250" w:lineRule="exact"/>
              <w:jc w:val="center"/>
              <w:rPr>
                <w:b/>
                <w:sz w:val="28"/>
                <w:szCs w:val="28"/>
              </w:rPr>
            </w:pPr>
            <w:r w:rsidRPr="00DF7690">
              <w:rPr>
                <w:rStyle w:val="2"/>
                <w:b/>
                <w:sz w:val="28"/>
                <w:szCs w:val="28"/>
              </w:rPr>
              <w:t>Количество</w:t>
            </w:r>
          </w:p>
          <w:p w:rsidR="00527AA2" w:rsidRPr="00DF7690" w:rsidRDefault="00527AA2" w:rsidP="008A6555">
            <w:pPr>
              <w:pStyle w:val="3"/>
              <w:shd w:val="clear" w:color="auto" w:fill="auto"/>
              <w:spacing w:before="60" w:after="0" w:line="250" w:lineRule="exact"/>
              <w:jc w:val="center"/>
              <w:rPr>
                <w:b/>
                <w:sz w:val="28"/>
                <w:szCs w:val="28"/>
              </w:rPr>
            </w:pPr>
            <w:r w:rsidRPr="00DF7690">
              <w:rPr>
                <w:rStyle w:val="2"/>
                <w:b/>
                <w:sz w:val="28"/>
                <w:szCs w:val="28"/>
              </w:rPr>
              <w:t>баллов</w:t>
            </w:r>
          </w:p>
        </w:tc>
      </w:tr>
      <w:tr w:rsidR="00527AA2" w:rsidRPr="00DF7690" w:rsidTr="008A6555">
        <w:trPr>
          <w:trHeight w:hRule="exact" w:val="712"/>
        </w:trPr>
        <w:tc>
          <w:tcPr>
            <w:tcW w:w="9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Default="00527AA2" w:rsidP="008A655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Образовательные учреждения</w:t>
            </w:r>
          </w:p>
          <w:p w:rsidR="00527AA2" w:rsidRDefault="00527AA2" w:rsidP="008A6555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7AA2" w:rsidRPr="00DF7690" w:rsidTr="008A6555">
        <w:trPr>
          <w:trHeight w:hRule="exact" w:val="15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rStyle w:val="2"/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Количество обучающихся (воспитанников) в образовательных учреждениях                      45</w:t>
            </w:r>
          </w:p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 xml:space="preserve">                                            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за каждого</w:t>
            </w:r>
          </w:p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обучающегося</w:t>
            </w:r>
          </w:p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(воспитанника)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0,3</w:t>
            </w:r>
          </w:p>
        </w:tc>
      </w:tr>
      <w:tr w:rsidR="00527AA2" w:rsidRPr="00DF7690" w:rsidTr="008A6555">
        <w:trPr>
          <w:trHeight w:hRule="exact"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Количество групп в дошкольных учреждениях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rStyle w:val="2"/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за 1 группу</w:t>
            </w:r>
          </w:p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10</w:t>
            </w:r>
          </w:p>
        </w:tc>
      </w:tr>
      <w:tr w:rsidR="00527AA2" w:rsidRPr="00DF7690" w:rsidTr="008A6555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Количество обучающихся в учреждениях дополнительного образования детей: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A2" w:rsidRPr="00DF7690" w:rsidTr="008A6555">
        <w:trPr>
          <w:trHeight w:hRule="exact" w:val="28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Количество работников в образовательном учреждении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за каждого работника дополнительно за каждого работника имеющего: I квалификационную категорию высшую квалификационную категорию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DF7690">
              <w:rPr>
                <w:rStyle w:val="2"/>
                <w:sz w:val="28"/>
                <w:szCs w:val="28"/>
              </w:rPr>
              <w:t>1</w:t>
            </w:r>
          </w:p>
        </w:tc>
      </w:tr>
      <w:tr w:rsidR="00527AA2" w:rsidRPr="00DF7690" w:rsidTr="008A6555">
        <w:trPr>
          <w:trHeight w:hRule="exact" w:val="5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Наличие групп продленного дня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до 20</w:t>
            </w:r>
          </w:p>
        </w:tc>
      </w:tr>
      <w:tr w:rsidR="00527AA2" w:rsidRPr="00DF7690" w:rsidTr="008A6555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за каждый класс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до 10</w:t>
            </w:r>
          </w:p>
        </w:tc>
      </w:tr>
      <w:tr w:rsidR="00527AA2" w:rsidRPr="00DF7690" w:rsidTr="008A6555">
        <w:trPr>
          <w:trHeight w:hRule="exact" w:val="20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 xml:space="preserve">Наличие оборудованных и используемых в образовательном процессе: спортивной площадки, стадиона, бассейна и других  спортивных сооружений (в зависимости от  их состояния и степени </w:t>
            </w:r>
            <w:r>
              <w:rPr>
                <w:rStyle w:val="13pt"/>
                <w:rFonts w:eastAsia="Candara"/>
                <w:sz w:val="28"/>
                <w:szCs w:val="28"/>
              </w:rPr>
              <w:t>и</w:t>
            </w:r>
            <w:r w:rsidRPr="00DF7690">
              <w:rPr>
                <w:rStyle w:val="13pt"/>
                <w:rFonts w:eastAsia="Candara"/>
                <w:sz w:val="28"/>
                <w:szCs w:val="28"/>
              </w:rPr>
              <w:t>спользования)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за каждый вид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до 15</w:t>
            </w:r>
          </w:p>
        </w:tc>
      </w:tr>
      <w:tr w:rsidR="00527AA2" w:rsidRPr="00DF7690" w:rsidTr="008A6555">
        <w:trPr>
          <w:trHeight w:hRule="exact" w:val="2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Наличие:</w:t>
            </w:r>
          </w:p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 xml:space="preserve">автотранспортных средств, сельхозмашин, строительной и другой самоходной техники на балансе образовательного учреждения </w:t>
            </w:r>
          </w:p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Учебных кораблей, катеров, самолётов и другой учебной техники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</w:p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за каждую единицу</w:t>
            </w:r>
          </w:p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</w:p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</w:p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за каждую единицу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</w:p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до 3, но не более 20</w:t>
            </w:r>
          </w:p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</w:p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до 20</w:t>
            </w:r>
          </w:p>
        </w:tc>
      </w:tr>
      <w:tr w:rsidR="00527AA2" w:rsidRPr="00DF7690" w:rsidTr="008A6555">
        <w:trPr>
          <w:trHeight w:hRule="exact" w:val="15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Наличие собственного оборудованного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170" w:lineRule="exact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до 15</w:t>
            </w:r>
          </w:p>
        </w:tc>
      </w:tr>
      <w:tr w:rsidR="00527AA2" w:rsidRPr="00DF7690" w:rsidTr="008A6555">
        <w:trPr>
          <w:trHeight w:hRule="exact" w:val="1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объектов (лагерей, баз отдыха, дач и другого)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Fonts w:ascii="Times New Roman" w:hAnsi="Times New Roman" w:cs="Times New Roman"/>
                <w:sz w:val="28"/>
                <w:szCs w:val="28"/>
              </w:rPr>
              <w:t>находящихся на балансе образовательных учреждений в других случаях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Default="00527AA2" w:rsidP="008A6555">
            <w:pPr>
              <w:spacing w:line="260" w:lineRule="exact"/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до 30</w:t>
            </w:r>
          </w:p>
          <w:p w:rsidR="00527AA2" w:rsidRDefault="00527AA2" w:rsidP="008A6555">
            <w:pPr>
              <w:spacing w:line="260" w:lineRule="exact"/>
              <w:rPr>
                <w:rStyle w:val="13pt"/>
                <w:rFonts w:eastAsia="Candara"/>
                <w:sz w:val="28"/>
                <w:szCs w:val="28"/>
              </w:rPr>
            </w:pPr>
          </w:p>
          <w:p w:rsidR="00527AA2" w:rsidRDefault="00527AA2" w:rsidP="008A6555">
            <w:pPr>
              <w:spacing w:line="260" w:lineRule="exact"/>
              <w:rPr>
                <w:rStyle w:val="13pt"/>
                <w:rFonts w:eastAsia="Candara"/>
                <w:sz w:val="28"/>
                <w:szCs w:val="28"/>
              </w:rPr>
            </w:pPr>
          </w:p>
          <w:p w:rsidR="00527AA2" w:rsidRDefault="00527AA2" w:rsidP="008A6555">
            <w:pPr>
              <w:spacing w:line="260" w:lineRule="exact"/>
              <w:rPr>
                <w:rStyle w:val="13pt"/>
                <w:rFonts w:eastAsia="Candara"/>
                <w:sz w:val="28"/>
                <w:szCs w:val="28"/>
              </w:rPr>
            </w:pPr>
          </w:p>
          <w:p w:rsidR="00527AA2" w:rsidRDefault="00527AA2" w:rsidP="008A6555">
            <w:pPr>
              <w:spacing w:line="260" w:lineRule="exact"/>
              <w:rPr>
                <w:rStyle w:val="13pt"/>
                <w:rFonts w:eastAsia="Candara"/>
                <w:sz w:val="28"/>
                <w:szCs w:val="28"/>
              </w:rPr>
            </w:pPr>
          </w:p>
          <w:p w:rsidR="00527AA2" w:rsidRPr="00DF7690" w:rsidRDefault="00527AA2" w:rsidP="008A6555">
            <w:pPr>
              <w:spacing w:line="260" w:lineRule="exact"/>
              <w:rPr>
                <w:rStyle w:val="13pt"/>
                <w:rFonts w:eastAsia="Candara"/>
                <w:sz w:val="28"/>
                <w:szCs w:val="28"/>
              </w:rPr>
            </w:pPr>
            <w:r>
              <w:rPr>
                <w:rStyle w:val="13pt"/>
                <w:rFonts w:eastAsia="Candara"/>
                <w:sz w:val="28"/>
                <w:szCs w:val="28"/>
              </w:rPr>
              <w:t>до 15</w:t>
            </w:r>
          </w:p>
        </w:tc>
      </w:tr>
      <w:tr w:rsidR="00527AA2" w:rsidRPr="00DF7690" w:rsidTr="008A6555">
        <w:trPr>
          <w:trHeight w:hRule="exact" w:val="22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32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Наличие учебно-опытных участков (площадью не менее 0,5 га, а при орошаемом земледелии - 0,25 га), парникового хозяйства, подсобного сельского хозяйства, учебного хозяйства, теплиц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26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за каждый вид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до 50</w:t>
            </w:r>
          </w:p>
        </w:tc>
      </w:tr>
      <w:tr w:rsidR="00527AA2" w:rsidRPr="00DF7690" w:rsidTr="008A6555">
        <w:trPr>
          <w:trHeight w:hRule="exact" w:val="11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Наличие собственных: котельной, очистных и за каждый вид других сооружений, жилых домов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до 20</w:t>
            </w:r>
          </w:p>
        </w:tc>
      </w:tr>
      <w:tr w:rsidR="00527AA2" w:rsidRPr="00DF7690" w:rsidTr="008A6555">
        <w:trPr>
          <w:trHeight w:hRule="exact" w:val="23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32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Наличие обучающихся (воспитанников) в общеобразовательных учреждениях, дошкольных 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32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за каждого</w:t>
            </w:r>
          </w:p>
          <w:p w:rsidR="00527AA2" w:rsidRPr="00DF7690" w:rsidRDefault="00527AA2" w:rsidP="008A6555">
            <w:pPr>
              <w:spacing w:line="32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обучающегося</w:t>
            </w:r>
          </w:p>
          <w:p w:rsidR="00527AA2" w:rsidRPr="00DF7690" w:rsidRDefault="00527AA2" w:rsidP="008A6555">
            <w:pPr>
              <w:spacing w:line="32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(воспитанника)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0,5</w:t>
            </w:r>
          </w:p>
        </w:tc>
      </w:tr>
      <w:tr w:rsidR="00527AA2" w:rsidRPr="00DF7690" w:rsidTr="008A6555">
        <w:trPr>
          <w:trHeight w:hRule="exact" w:val="20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DF7690"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322" w:lineRule="exact"/>
              <w:ind w:left="20"/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 xml:space="preserve">Наличие действующих </w:t>
            </w:r>
            <w:proofErr w:type="spellStart"/>
            <w:r w:rsidRPr="00DF7690">
              <w:rPr>
                <w:rStyle w:val="13pt"/>
                <w:rFonts w:eastAsia="Candara"/>
                <w:sz w:val="28"/>
                <w:szCs w:val="28"/>
              </w:rPr>
              <w:t>учебно</w:t>
            </w:r>
            <w:proofErr w:type="spellEnd"/>
            <w:r w:rsidRPr="00DF7690">
              <w:rPr>
                <w:rStyle w:val="13pt"/>
                <w:rFonts w:eastAsia="Candara"/>
                <w:sz w:val="28"/>
                <w:szCs w:val="28"/>
              </w:rPr>
              <w:t xml:space="preserve"> – производственных мастерских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322" w:lineRule="exact"/>
              <w:ind w:left="20"/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 xml:space="preserve">За каждую мастерскую от степени </w:t>
            </w:r>
            <w:proofErr w:type="spellStart"/>
            <w:r w:rsidRPr="00DF7690">
              <w:rPr>
                <w:rStyle w:val="13pt"/>
                <w:rFonts w:eastAsia="Candara"/>
                <w:sz w:val="28"/>
                <w:szCs w:val="28"/>
              </w:rPr>
              <w:t>оборудованности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AA2" w:rsidRPr="00DF7690" w:rsidRDefault="00527AA2" w:rsidP="008A6555">
            <w:pPr>
              <w:spacing w:line="260" w:lineRule="exact"/>
              <w:rPr>
                <w:rStyle w:val="13pt"/>
                <w:rFonts w:eastAsia="Candara"/>
                <w:sz w:val="28"/>
                <w:szCs w:val="28"/>
              </w:rPr>
            </w:pPr>
            <w:r w:rsidRPr="00DF7690">
              <w:rPr>
                <w:rStyle w:val="13pt"/>
                <w:rFonts w:eastAsia="Candara"/>
                <w:sz w:val="28"/>
                <w:szCs w:val="28"/>
              </w:rPr>
              <w:t>до 10</w:t>
            </w:r>
          </w:p>
        </w:tc>
      </w:tr>
    </w:tbl>
    <w:p w:rsidR="00527AA2" w:rsidRPr="00DF7690" w:rsidRDefault="00527AA2" w:rsidP="00527AA2">
      <w:pPr>
        <w:pStyle w:val="3"/>
        <w:shd w:val="clear" w:color="auto" w:fill="auto"/>
        <w:tabs>
          <w:tab w:val="left" w:pos="1407"/>
          <w:tab w:val="left" w:leader="underscore" w:pos="8079"/>
          <w:tab w:val="left" w:leader="underscore" w:pos="9562"/>
        </w:tabs>
        <w:spacing w:after="0" w:line="317" w:lineRule="exact"/>
        <w:ind w:right="40"/>
        <w:jc w:val="center"/>
        <w:rPr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AA2" w:rsidRPr="00DF7690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7690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27AA2" w:rsidRPr="00DF7690" w:rsidRDefault="00527AA2" w:rsidP="00527AA2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0EB" w:rsidRDefault="00527AA2" w:rsidP="00527AA2">
      <w:r w:rsidRPr="00DF769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F7690">
        <w:rPr>
          <w:rFonts w:ascii="Times New Roman" w:hAnsi="Times New Roman" w:cs="Times New Roman"/>
          <w:sz w:val="28"/>
          <w:szCs w:val="28"/>
        </w:rPr>
        <w:t>Насонтовской</w:t>
      </w:r>
      <w:proofErr w:type="spellEnd"/>
      <w:r w:rsidRPr="00DF7690">
        <w:rPr>
          <w:rFonts w:ascii="Times New Roman" w:hAnsi="Times New Roman" w:cs="Times New Roman"/>
          <w:sz w:val="28"/>
          <w:szCs w:val="28"/>
        </w:rPr>
        <w:t xml:space="preserve"> ООШ:                                   Л.Л.Быкадорова                                                </w:t>
      </w:r>
    </w:p>
    <w:sectPr w:rsidR="006E10EB" w:rsidSect="00527AA2">
      <w:pgSz w:w="11906" w:h="16838"/>
      <w:pgMar w:top="624" w:right="851" w:bottom="102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AA2"/>
    <w:rsid w:val="00323B2B"/>
    <w:rsid w:val="00527AA2"/>
    <w:rsid w:val="00661F27"/>
    <w:rsid w:val="0089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A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27AA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27AA2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527AA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3pt">
    <w:name w:val="Основной текст + 13 pt"/>
    <w:basedOn w:val="a3"/>
    <w:rsid w:val="00527AA2"/>
    <w:rPr>
      <w:color w:val="000000"/>
      <w:spacing w:val="0"/>
      <w:w w:val="100"/>
      <w:position w:val="0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2012-09-07T10:13:00Z</dcterms:created>
  <dcterms:modified xsi:type="dcterms:W3CDTF">2012-09-07T10:14:00Z</dcterms:modified>
</cp:coreProperties>
</file>